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134098" w:rsidRDefault="00000000">
      <w:pPr>
        <w:spacing w:after="0"/>
        <w:ind w:left="-283" w:right="-466"/>
        <w:rPr>
          <w:sz w:val="28"/>
          <w:szCs w:val="28"/>
        </w:rPr>
      </w:pPr>
      <w:r>
        <w:rPr>
          <w:b/>
          <w:sz w:val="28"/>
          <w:szCs w:val="28"/>
        </w:rPr>
        <w:t>The University of Manchester Team Research Programme</w:t>
      </w:r>
    </w:p>
    <w:p w14:paraId="00000003" w14:textId="77777777" w:rsidR="00134098" w:rsidRDefault="00000000">
      <w:pPr>
        <w:spacing w:after="0"/>
        <w:ind w:left="-283" w:right="-466"/>
        <w:rPr>
          <w:b/>
          <w:sz w:val="28"/>
          <w:szCs w:val="28"/>
        </w:rPr>
      </w:pPr>
      <w:r>
        <w:rPr>
          <w:b/>
          <w:sz w:val="28"/>
          <w:szCs w:val="28"/>
        </w:rPr>
        <w:t>Micro-Catalyst funding call 2024/25 Guidance</w:t>
      </w:r>
    </w:p>
    <w:p w14:paraId="00000004" w14:textId="77777777" w:rsidR="00134098" w:rsidRDefault="00134098">
      <w:pPr>
        <w:spacing w:after="0"/>
        <w:ind w:left="-283" w:right="-466"/>
        <w:rPr>
          <w:b/>
          <w:sz w:val="24"/>
          <w:szCs w:val="24"/>
        </w:rPr>
      </w:pPr>
    </w:p>
    <w:p w14:paraId="00000005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>The University of Manchester Team Research Programme (</w:t>
      </w:r>
      <w:proofErr w:type="spellStart"/>
      <w:r>
        <w:rPr>
          <w:sz w:val="24"/>
          <w:szCs w:val="24"/>
        </w:rPr>
        <w:t>TeamsBuildDreams</w:t>
      </w:r>
      <w:proofErr w:type="spellEnd"/>
      <w:r>
        <w:rPr>
          <w:sz w:val="24"/>
          <w:szCs w:val="24"/>
        </w:rPr>
        <w:t xml:space="preserve">) invites applications to the micro-catalyst call 2024/25, following on from the successful call 2023/24. </w:t>
      </w:r>
    </w:p>
    <w:p w14:paraId="00000006" w14:textId="77777777" w:rsidR="00134098" w:rsidRDefault="00134098">
      <w:pPr>
        <w:spacing w:after="0"/>
        <w:ind w:left="-283" w:right="-466"/>
        <w:rPr>
          <w:sz w:val="26"/>
          <w:szCs w:val="26"/>
        </w:rPr>
      </w:pPr>
    </w:p>
    <w:p w14:paraId="00000007" w14:textId="77777777" w:rsidR="00134098" w:rsidRDefault="00000000">
      <w:pPr>
        <w:spacing w:after="0"/>
        <w:ind w:left="-283" w:right="-466"/>
        <w:rPr>
          <w:b/>
          <w:sz w:val="24"/>
          <w:szCs w:val="24"/>
        </w:rPr>
      </w:pPr>
      <w:r>
        <w:rPr>
          <w:sz w:val="24"/>
          <w:szCs w:val="24"/>
        </w:rPr>
        <w:t>The aim of this call is to help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staff</w:t>
      </w:r>
      <w:r>
        <w:rPr>
          <w:b/>
          <w:sz w:val="24"/>
          <w:szCs w:val="24"/>
        </w:rPr>
        <w:t xml:space="preserve"> planning future funding applications</w:t>
      </w:r>
      <w:r>
        <w:rPr>
          <w:sz w:val="24"/>
          <w:szCs w:val="24"/>
        </w:rPr>
        <w:t xml:space="preserve">, and/or </w:t>
      </w:r>
      <w:r>
        <w:rPr>
          <w:b/>
          <w:sz w:val="24"/>
          <w:szCs w:val="24"/>
        </w:rPr>
        <w:t>partnerships</w:t>
      </w:r>
      <w:r>
        <w:rPr>
          <w:sz w:val="24"/>
          <w:szCs w:val="24"/>
        </w:rPr>
        <w:t xml:space="preserve"> with external stakeholders (policymakers, community groups, charities, businesses) to </w:t>
      </w:r>
      <w:r>
        <w:rPr>
          <w:b/>
          <w:sz w:val="24"/>
          <w:szCs w:val="24"/>
        </w:rPr>
        <w:t xml:space="preserve">build connections / networks </w:t>
      </w:r>
      <w:r>
        <w:rPr>
          <w:sz w:val="24"/>
          <w:szCs w:val="24"/>
        </w:rPr>
        <w:t>across disciplines, faculties and boundaries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develop the skills </w:t>
      </w:r>
      <w:r>
        <w:rPr>
          <w:sz w:val="24"/>
          <w:szCs w:val="24"/>
        </w:rPr>
        <w:t>needed to effectively work within interdisciplinary teams</w:t>
      </w:r>
      <w:r>
        <w:rPr>
          <w:b/>
          <w:sz w:val="24"/>
          <w:szCs w:val="24"/>
        </w:rPr>
        <w:t xml:space="preserve">.  </w:t>
      </w:r>
    </w:p>
    <w:p w14:paraId="00000008" w14:textId="77777777" w:rsidR="00134098" w:rsidRDefault="00134098">
      <w:pPr>
        <w:spacing w:after="0"/>
        <w:ind w:left="-283" w:right="-466"/>
        <w:rPr>
          <w:b/>
          <w:sz w:val="24"/>
          <w:szCs w:val="24"/>
        </w:rPr>
      </w:pPr>
    </w:p>
    <w:p w14:paraId="00000009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>We are offering funds to support training and skill development; events; purchase of resources; or other innovative ideas to enable collaboration and interdisciplinary working. These could include (but are not limited to): training courses; networking or community building events e.g. (</w:t>
      </w:r>
      <w:hyperlink r:id="rId6">
        <w:r>
          <w:rPr>
            <w:sz w:val="24"/>
            <w:szCs w:val="24"/>
            <w:u w:val="single"/>
          </w:rPr>
          <w:t>huddles</w:t>
        </w:r>
      </w:hyperlink>
      <w:r>
        <w:t xml:space="preserve">, </w:t>
      </w:r>
      <w:hyperlink r:id="rId7">
        <w:r>
          <w:rPr>
            <w:sz w:val="24"/>
            <w:szCs w:val="24"/>
            <w:u w:val="single"/>
          </w:rPr>
          <w:t>“pizza and people”</w:t>
        </w:r>
      </w:hyperlink>
      <w:r>
        <w:rPr>
          <w:sz w:val="24"/>
          <w:szCs w:val="24"/>
        </w:rPr>
        <w:t xml:space="preserve">); lunch and learns; speed dating; or purchasing resources or tools for collaboration e.g. </w:t>
      </w:r>
      <w:hyperlink r:id="rId8">
        <w:proofErr w:type="spellStart"/>
        <w:r>
          <w:rPr>
            <w:sz w:val="24"/>
            <w:szCs w:val="24"/>
            <w:u w:val="single"/>
          </w:rPr>
          <w:t>Ketso</w:t>
        </w:r>
        <w:proofErr w:type="spellEnd"/>
      </w:hyperlink>
      <w:r>
        <w:rPr>
          <w:sz w:val="24"/>
          <w:szCs w:val="24"/>
        </w:rPr>
        <w:t xml:space="preserve"> etc. </w:t>
      </w:r>
    </w:p>
    <w:p w14:paraId="0000000A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0B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For this round we are delighted to partner with the </w:t>
      </w:r>
      <w:hyperlink r:id="rId9">
        <w:r>
          <w:rPr>
            <w:b/>
            <w:color w:val="3C78D8"/>
            <w:sz w:val="24"/>
            <w:szCs w:val="24"/>
            <w:u w:val="single"/>
          </w:rPr>
          <w:t>Healthier Futures Research Platform</w:t>
        </w:r>
      </w:hyperlink>
      <w:r>
        <w:rPr>
          <w:color w:val="3C78D8"/>
          <w:sz w:val="24"/>
          <w:szCs w:val="24"/>
        </w:rPr>
        <w:t>,</w:t>
      </w:r>
      <w:r>
        <w:rPr>
          <w:sz w:val="24"/>
          <w:szCs w:val="24"/>
        </w:rPr>
        <w:t xml:space="preserve"> who are able to fund a number of projects which relate specifically to research and partnerships that focus on </w:t>
      </w:r>
      <w:r>
        <w:rPr>
          <w:b/>
          <w:sz w:val="24"/>
          <w:szCs w:val="24"/>
        </w:rPr>
        <w:t>health inequalities.</w:t>
      </w:r>
    </w:p>
    <w:p w14:paraId="0000000C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0D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We expect to fund around 20 projects in total: around 8 projects with a general focus (£6k total pot) and around 12 with a health inequalities focus (£10k total pot). The total funding pot available is £16k and each award will be for a maximum of £975.00. </w:t>
      </w:r>
    </w:p>
    <w:p w14:paraId="0000000E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0F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Eligible costs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travel and consumables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sz w:val="24"/>
          <w:szCs w:val="24"/>
        </w:rPr>
        <w:t xml:space="preserve">external training services; catering; room hire; printing and materials; </w:t>
      </w:r>
      <w:r>
        <w:rPr>
          <w:rFonts w:ascii="Arial" w:eastAsia="Arial" w:hAnsi="Arial" w:cs="Arial"/>
          <w:sz w:val="24"/>
          <w:szCs w:val="24"/>
        </w:rPr>
        <w:t xml:space="preserve">resources, public contributor payments; </w:t>
      </w:r>
      <w:r>
        <w:rPr>
          <w:sz w:val="24"/>
          <w:szCs w:val="24"/>
        </w:rPr>
        <w:t xml:space="preserve">and more: </w:t>
      </w:r>
      <w:r>
        <w:rPr>
          <w:b/>
          <w:sz w:val="24"/>
          <w:szCs w:val="24"/>
        </w:rPr>
        <w:t xml:space="preserve">innovative ideas are welcome. </w:t>
      </w:r>
      <w:r>
        <w:rPr>
          <w:sz w:val="24"/>
          <w:szCs w:val="24"/>
        </w:rPr>
        <w:t xml:space="preserve">Costs may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include</w:t>
      </w:r>
      <w:r>
        <w:rPr>
          <w:b/>
          <w:sz w:val="24"/>
          <w:szCs w:val="24"/>
        </w:rPr>
        <w:t xml:space="preserve"> external subcontracting</w:t>
      </w:r>
      <w:r>
        <w:rPr>
          <w:sz w:val="24"/>
          <w:szCs w:val="24"/>
        </w:rPr>
        <w:t xml:space="preserve"> (payments for goods or service only).</w:t>
      </w:r>
      <w:r>
        <w:rPr>
          <w:rFonts w:ascii="Arial" w:eastAsia="Arial" w:hAnsi="Arial" w:cs="Arial"/>
          <w:sz w:val="24"/>
          <w:szCs w:val="24"/>
        </w:rPr>
        <w:t xml:space="preserve"> Typically costs related to </w:t>
      </w:r>
      <w:r>
        <w:rPr>
          <w:rFonts w:ascii="Arial" w:eastAsia="Arial" w:hAnsi="Arial" w:cs="Arial"/>
          <w:b/>
          <w:sz w:val="24"/>
          <w:szCs w:val="24"/>
        </w:rPr>
        <w:t xml:space="preserve">staff time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b/>
          <w:sz w:val="24"/>
          <w:szCs w:val="24"/>
        </w:rPr>
        <w:t xml:space="preserve"> not </w:t>
      </w:r>
      <w:r>
        <w:rPr>
          <w:rFonts w:ascii="Arial" w:eastAsia="Arial" w:hAnsi="Arial" w:cs="Arial"/>
          <w:sz w:val="24"/>
          <w:szCs w:val="24"/>
        </w:rPr>
        <w:t>be eligible.</w:t>
      </w:r>
    </w:p>
    <w:p w14:paraId="00000010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11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The funds </w:t>
      </w:r>
      <w:r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</w:t>
      </w:r>
      <w:proofErr w:type="gramStart"/>
      <w:r>
        <w:rPr>
          <w:sz w:val="24"/>
          <w:szCs w:val="24"/>
        </w:rPr>
        <w:t>spent</w:t>
      </w:r>
      <w:proofErr w:type="gramEnd"/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all project activities</w:t>
      </w:r>
      <w:r>
        <w:rPr>
          <w:sz w:val="24"/>
          <w:szCs w:val="24"/>
        </w:rPr>
        <w:t xml:space="preserve"> completed by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 July 2025 and there is no flexibility on this.</w:t>
      </w:r>
    </w:p>
    <w:p w14:paraId="00000012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13" w14:textId="77777777" w:rsidR="00134098" w:rsidRDefault="00000000">
      <w:pPr>
        <w:spacing w:after="0"/>
        <w:ind w:left="-283" w:right="-466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Please note that all projects should be informed by team research principles. </w:t>
      </w:r>
      <w:r>
        <w:rPr>
          <w:sz w:val="24"/>
          <w:szCs w:val="24"/>
          <w:highlight w:val="white"/>
        </w:rPr>
        <w:t>We define Team research as:</w:t>
      </w:r>
    </w:p>
    <w:p w14:paraId="00000014" w14:textId="77777777" w:rsidR="00134098" w:rsidRDefault="00000000">
      <w:pPr>
        <w:spacing w:after="0"/>
        <w:ind w:left="-283" w:right="-466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</w:t>
      </w:r>
      <w:r>
        <w:rPr>
          <w:i/>
          <w:sz w:val="24"/>
          <w:szCs w:val="24"/>
          <w:highlight w:val="white"/>
        </w:rPr>
        <w:t xml:space="preserve">a </w:t>
      </w:r>
      <w:r>
        <w:rPr>
          <w:b/>
          <w:i/>
          <w:sz w:val="24"/>
          <w:szCs w:val="24"/>
          <w:highlight w:val="white"/>
        </w:rPr>
        <w:t>collaborative</w:t>
      </w:r>
      <w:r>
        <w:rPr>
          <w:i/>
          <w:sz w:val="24"/>
          <w:szCs w:val="24"/>
          <w:highlight w:val="white"/>
        </w:rPr>
        <w:t xml:space="preserve"> effort to address a </w:t>
      </w:r>
      <w:r>
        <w:rPr>
          <w:b/>
          <w:i/>
          <w:sz w:val="24"/>
          <w:szCs w:val="24"/>
          <w:highlight w:val="white"/>
        </w:rPr>
        <w:t>common goal</w:t>
      </w:r>
      <w:r>
        <w:rPr>
          <w:i/>
          <w:sz w:val="24"/>
          <w:szCs w:val="24"/>
          <w:highlight w:val="white"/>
        </w:rPr>
        <w:t xml:space="preserve"> using the strengths and expertise of </w:t>
      </w:r>
      <w:r>
        <w:rPr>
          <w:b/>
          <w:i/>
          <w:sz w:val="24"/>
          <w:szCs w:val="24"/>
          <w:highlight w:val="white"/>
        </w:rPr>
        <w:t xml:space="preserve">a diverse team </w:t>
      </w:r>
      <w:r>
        <w:rPr>
          <w:i/>
          <w:sz w:val="24"/>
          <w:szCs w:val="24"/>
          <w:highlight w:val="white"/>
        </w:rPr>
        <w:t xml:space="preserve">where </w:t>
      </w:r>
      <w:r>
        <w:rPr>
          <w:b/>
          <w:i/>
          <w:sz w:val="24"/>
          <w:szCs w:val="24"/>
          <w:highlight w:val="white"/>
        </w:rPr>
        <w:t>contributions of all team members are encouraged, acknowledged, recognised and valued</w:t>
      </w:r>
      <w:r>
        <w:rPr>
          <w:i/>
          <w:sz w:val="24"/>
          <w:szCs w:val="24"/>
          <w:highlight w:val="white"/>
        </w:rPr>
        <w:t>.”</w:t>
      </w:r>
      <w:r>
        <w:rPr>
          <w:sz w:val="24"/>
          <w:szCs w:val="24"/>
          <w:highlight w:val="white"/>
        </w:rPr>
        <w:t xml:space="preserve"> </w:t>
      </w:r>
    </w:p>
    <w:p w14:paraId="00000015" w14:textId="77777777" w:rsidR="00134098" w:rsidRDefault="00000000">
      <w:pPr>
        <w:spacing w:after="0"/>
        <w:ind w:left="-283" w:right="-466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More info &amp; animation:</w:t>
      </w:r>
      <w:hyperlink r:id="rId10">
        <w:r>
          <w:rPr>
            <w:sz w:val="24"/>
            <w:szCs w:val="24"/>
            <w:highlight w:val="white"/>
          </w:rPr>
          <w:t xml:space="preserve"> </w:t>
        </w:r>
      </w:hyperlink>
      <w:hyperlink r:id="rId11">
        <w:r>
          <w:rPr>
            <w:color w:val="1155CC"/>
            <w:sz w:val="24"/>
            <w:szCs w:val="24"/>
            <w:u w:val="single"/>
          </w:rPr>
          <w:t>https://www.pankhurst.manchester.ac.uk/research/team-research/</w:t>
        </w:r>
      </w:hyperlink>
    </w:p>
    <w:p w14:paraId="00000016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17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Assessment criteria: </w:t>
      </w:r>
    </w:p>
    <w:p w14:paraId="00000018" w14:textId="77777777" w:rsidR="00134098" w:rsidRDefault="00000000">
      <w:pPr>
        <w:numPr>
          <w:ilvl w:val="0"/>
          <w:numId w:val="3"/>
        </w:numPr>
        <w:spacing w:after="0" w:line="240" w:lineRule="auto"/>
        <w:ind w:left="425" w:right="-466"/>
        <w:rPr>
          <w:sz w:val="24"/>
          <w:szCs w:val="24"/>
        </w:rPr>
      </w:pPr>
      <w:r>
        <w:rPr>
          <w:sz w:val="24"/>
          <w:szCs w:val="24"/>
        </w:rPr>
        <w:t xml:space="preserve">How the proposal will </w:t>
      </w:r>
      <w:r>
        <w:rPr>
          <w:color w:val="202124"/>
          <w:sz w:val="24"/>
          <w:szCs w:val="24"/>
        </w:rPr>
        <w:t xml:space="preserve">create, enable or support interdisciplinary collaboration </w:t>
      </w:r>
      <w:r>
        <w:rPr>
          <w:b/>
          <w:color w:val="202124"/>
          <w:sz w:val="24"/>
          <w:szCs w:val="24"/>
        </w:rPr>
        <w:t>with reference to team research principles.</w:t>
      </w:r>
    </w:p>
    <w:p w14:paraId="00000019" w14:textId="77777777" w:rsidR="00134098" w:rsidRDefault="00000000">
      <w:pPr>
        <w:numPr>
          <w:ilvl w:val="0"/>
          <w:numId w:val="3"/>
        </w:numPr>
        <w:spacing w:after="0" w:line="240" w:lineRule="auto"/>
        <w:ind w:left="425" w:right="-466"/>
        <w:rPr>
          <w:sz w:val="24"/>
          <w:szCs w:val="24"/>
        </w:rPr>
      </w:pPr>
      <w:r>
        <w:rPr>
          <w:color w:val="202124"/>
          <w:sz w:val="24"/>
          <w:szCs w:val="24"/>
        </w:rPr>
        <w:t xml:space="preserve">How the proposal demonstrates that it will enable </w:t>
      </w:r>
      <w:r>
        <w:rPr>
          <w:sz w:val="24"/>
          <w:szCs w:val="24"/>
        </w:rPr>
        <w:t>a wider purpose or future aim</w:t>
      </w:r>
    </w:p>
    <w:p w14:paraId="0000001A" w14:textId="77777777" w:rsidR="00134098" w:rsidRDefault="00000000">
      <w:pPr>
        <w:numPr>
          <w:ilvl w:val="0"/>
          <w:numId w:val="3"/>
        </w:numPr>
        <w:spacing w:after="0"/>
        <w:ind w:left="425" w:right="-4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Project rationale, clarity of presentation and justification of the activity</w:t>
      </w:r>
    </w:p>
    <w:p w14:paraId="0000001B" w14:textId="77777777" w:rsidR="00134098" w:rsidRDefault="00000000">
      <w:pPr>
        <w:numPr>
          <w:ilvl w:val="0"/>
          <w:numId w:val="3"/>
        </w:numPr>
        <w:spacing w:after="0" w:line="240" w:lineRule="auto"/>
        <w:ind w:left="425" w:right="-4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Strength and coherence of the proposed team; and </w:t>
      </w:r>
      <w:r>
        <w:rPr>
          <w:sz w:val="24"/>
          <w:szCs w:val="24"/>
        </w:rPr>
        <w:t>application</w:t>
      </w:r>
      <w:r>
        <w:rPr>
          <w:rFonts w:ascii="Arial" w:eastAsia="Arial" w:hAnsi="Arial" w:cs="Arial"/>
          <w:sz w:val="24"/>
          <w:szCs w:val="24"/>
        </w:rPr>
        <w:t xml:space="preserve"> of team research principles in the project approach i.e. the way project/team demonstrates ‘living’ these values. Including, demonstration of equality, diversity and inclusion in team composition and approach, including for early career researchers, PS staff, and technical roles.</w:t>
      </w:r>
    </w:p>
    <w:p w14:paraId="0000001C" w14:textId="77777777" w:rsidR="00134098" w:rsidRDefault="00134098">
      <w:pPr>
        <w:spacing w:after="0" w:line="240" w:lineRule="auto"/>
        <w:ind w:right="-466"/>
        <w:rPr>
          <w:rFonts w:ascii="Arial" w:eastAsia="Arial" w:hAnsi="Arial" w:cs="Arial"/>
          <w:sz w:val="24"/>
          <w:szCs w:val="24"/>
        </w:rPr>
      </w:pPr>
    </w:p>
    <w:p w14:paraId="0000001D" w14:textId="77777777" w:rsidR="00134098" w:rsidRDefault="00000000">
      <w:pPr>
        <w:spacing w:after="200" w:line="240" w:lineRule="auto"/>
        <w:ind w:right="-46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Eligibility criteria:</w:t>
      </w:r>
    </w:p>
    <w:p w14:paraId="0000001E" w14:textId="77777777" w:rsidR="00134098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283" w:right="-607" w:hanging="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Reflecting the inclusivity of a team research model, we accept submissions from </w:t>
      </w:r>
      <w:r>
        <w:rPr>
          <w:rFonts w:ascii="Arial" w:eastAsia="Arial" w:hAnsi="Arial" w:cs="Arial"/>
          <w:b/>
          <w:sz w:val="24"/>
          <w:szCs w:val="24"/>
        </w:rPr>
        <w:t>ALL University of Manchester</w:t>
      </w:r>
      <w:r>
        <w:rPr>
          <w:rFonts w:ascii="Arial" w:eastAsia="Arial" w:hAnsi="Arial" w:cs="Arial"/>
          <w:sz w:val="24"/>
          <w:szCs w:val="24"/>
        </w:rPr>
        <w:t xml:space="preserve"> staff: academic, researcher, PS, technical etc.</w:t>
      </w:r>
    </w:p>
    <w:p w14:paraId="0000001F" w14:textId="77777777" w:rsidR="00134098" w:rsidRDefault="00000000">
      <w:pPr>
        <w:numPr>
          <w:ilvl w:val="0"/>
          <w:numId w:val="3"/>
        </w:numPr>
        <w:spacing w:after="0" w:line="240" w:lineRule="auto"/>
        <w:ind w:left="283" w:right="-466" w:hanging="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 is open only to University of Manchester employees: honorary contract holders may be included as team members.</w:t>
      </w:r>
    </w:p>
    <w:p w14:paraId="00000020" w14:textId="77777777" w:rsidR="00134098" w:rsidRDefault="00000000">
      <w:pPr>
        <w:numPr>
          <w:ilvl w:val="0"/>
          <w:numId w:val="3"/>
        </w:numPr>
        <w:spacing w:after="0" w:line="240" w:lineRule="auto"/>
        <w:ind w:left="283" w:right="-466" w:hanging="28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Due to the short length of the funding, e</w:t>
      </w:r>
      <w:r>
        <w:rPr>
          <w:sz w:val="24"/>
          <w:szCs w:val="24"/>
        </w:rPr>
        <w:t xml:space="preserve">ligible costs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non staff costs only:</w:t>
      </w:r>
      <w:r>
        <w:rPr>
          <w:sz w:val="24"/>
          <w:szCs w:val="24"/>
        </w:rPr>
        <w:t xml:space="preserve"> travel and consumables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sz w:val="24"/>
          <w:szCs w:val="24"/>
        </w:rPr>
        <w:t xml:space="preserve">etc. Costs may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include</w:t>
      </w:r>
      <w:r>
        <w:rPr>
          <w:b/>
          <w:sz w:val="24"/>
          <w:szCs w:val="24"/>
        </w:rPr>
        <w:t xml:space="preserve"> external subcontracting</w:t>
      </w:r>
      <w:r>
        <w:rPr>
          <w:sz w:val="24"/>
          <w:szCs w:val="24"/>
        </w:rPr>
        <w:t xml:space="preserve"> (payments for goods or service only).</w:t>
      </w:r>
      <w:r>
        <w:rPr>
          <w:rFonts w:ascii="Arial" w:eastAsia="Arial" w:hAnsi="Arial" w:cs="Arial"/>
          <w:sz w:val="24"/>
          <w:szCs w:val="24"/>
        </w:rPr>
        <w:t xml:space="preserve"> Typically costs related to </w:t>
      </w:r>
      <w:r>
        <w:rPr>
          <w:rFonts w:ascii="Arial" w:eastAsia="Arial" w:hAnsi="Arial" w:cs="Arial"/>
          <w:b/>
          <w:sz w:val="24"/>
          <w:szCs w:val="24"/>
        </w:rPr>
        <w:t xml:space="preserve">staff time </w:t>
      </w:r>
      <w:r>
        <w:rPr>
          <w:rFonts w:ascii="Arial" w:eastAsia="Arial" w:hAnsi="Arial" w:cs="Arial"/>
          <w:sz w:val="24"/>
          <w:szCs w:val="24"/>
        </w:rPr>
        <w:t xml:space="preserve">would </w:t>
      </w:r>
      <w:r>
        <w:rPr>
          <w:rFonts w:ascii="Arial" w:eastAsia="Arial" w:hAnsi="Arial" w:cs="Arial"/>
          <w:b/>
          <w:sz w:val="24"/>
          <w:szCs w:val="24"/>
        </w:rPr>
        <w:t xml:space="preserve">not </w:t>
      </w:r>
      <w:r>
        <w:rPr>
          <w:rFonts w:ascii="Arial" w:eastAsia="Arial" w:hAnsi="Arial" w:cs="Arial"/>
          <w:sz w:val="24"/>
          <w:szCs w:val="24"/>
        </w:rPr>
        <w:t>be eligible.</w:t>
      </w:r>
    </w:p>
    <w:p w14:paraId="00000021" w14:textId="77777777" w:rsidR="00134098" w:rsidRDefault="00134098">
      <w:pPr>
        <w:shd w:val="clear" w:color="auto" w:fill="FFFFFF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22" w14:textId="77777777" w:rsidR="00134098" w:rsidRDefault="00000000">
      <w:pPr>
        <w:shd w:val="clear" w:color="auto" w:fill="FFFFFF"/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All applications received by the call deadline will be:  </w:t>
      </w:r>
    </w:p>
    <w:p w14:paraId="00000023" w14:textId="77777777" w:rsidR="00134098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283" w:hanging="283"/>
      </w:pPr>
      <w:r>
        <w:rPr>
          <w:rFonts w:ascii="Arial" w:eastAsia="Arial" w:hAnsi="Arial" w:cs="Arial"/>
          <w:sz w:val="24"/>
          <w:szCs w:val="24"/>
        </w:rPr>
        <w:t xml:space="preserve">Checked for eligibility by the Team Research team. </w:t>
      </w:r>
    </w:p>
    <w:p w14:paraId="00000024" w14:textId="77777777" w:rsidR="00134098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283" w:hanging="283"/>
      </w:pPr>
      <w:r>
        <w:rPr>
          <w:rFonts w:ascii="Arial" w:eastAsia="Arial" w:hAnsi="Arial" w:cs="Arial"/>
          <w:sz w:val="24"/>
          <w:szCs w:val="24"/>
        </w:rPr>
        <w:t>Triage reviewed against criteria by one appointed panel member.</w:t>
      </w:r>
    </w:p>
    <w:p w14:paraId="00000025" w14:textId="77777777" w:rsidR="00134098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Reviewed and assessed collectively by a panel to collate a final ranking.</w:t>
      </w:r>
    </w:p>
    <w:p w14:paraId="00000026" w14:textId="77777777" w:rsidR="00134098" w:rsidRDefault="00000000">
      <w:p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b/>
          <w:color w:val="343536"/>
          <w:sz w:val="14"/>
          <w:szCs w:val="14"/>
        </w:rPr>
      </w:pPr>
      <w:r>
        <w:rPr>
          <w:rFonts w:ascii="Arial" w:eastAsia="Arial" w:hAnsi="Arial" w:cs="Arial"/>
          <w:b/>
          <w:color w:val="343536"/>
          <w:sz w:val="14"/>
          <w:szCs w:val="14"/>
        </w:rPr>
        <w:t xml:space="preserve"> </w:t>
      </w:r>
    </w:p>
    <w:p w14:paraId="00000027" w14:textId="77777777" w:rsidR="00134098" w:rsidRDefault="00000000">
      <w:pPr>
        <w:shd w:val="clear" w:color="auto" w:fill="FFFFFF"/>
        <w:spacing w:before="200" w:after="200" w:line="240" w:lineRule="auto"/>
        <w:ind w:left="283" w:hanging="28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Successful applicants will be required to:  </w:t>
      </w:r>
    </w:p>
    <w:p w14:paraId="00000028" w14:textId="77777777" w:rsidR="00134098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with the Teams Build Dreams team to embed awareness raising of the Team Research Programme and its principles in their project.</w:t>
      </w:r>
    </w:p>
    <w:p w14:paraId="00000029" w14:textId="77777777" w:rsidR="00134098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Submit a written report within 3 months of the award end. This may be used as a case study for the programme and shared publicly. </w:t>
      </w:r>
    </w:p>
    <w:p w14:paraId="0000002A" w14:textId="77777777" w:rsidR="00134098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You may also be invited to present at a programme showcase or similar event.</w:t>
      </w:r>
    </w:p>
    <w:p w14:paraId="0000002B" w14:textId="77777777" w:rsidR="00134098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283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 on follow-on activities and expected outcomes up to 3 years after project end.</w:t>
      </w:r>
    </w:p>
    <w:p w14:paraId="0000002C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2D" w14:textId="77777777" w:rsidR="00134098" w:rsidRDefault="00000000">
      <w:pPr>
        <w:spacing w:after="0"/>
        <w:ind w:left="-283" w:right="-466"/>
        <w:rPr>
          <w:b/>
          <w:sz w:val="24"/>
          <w:szCs w:val="24"/>
        </w:rPr>
      </w:pPr>
      <w:r>
        <w:rPr>
          <w:b/>
          <w:sz w:val="24"/>
          <w:szCs w:val="24"/>
        </w:rPr>
        <w:t>To Submit:</w:t>
      </w:r>
    </w:p>
    <w:p w14:paraId="0000002E" w14:textId="77777777" w:rsidR="00134098" w:rsidRDefault="00000000">
      <w:pPr>
        <w:spacing w:after="0"/>
        <w:ind w:left="-283" w:right="-466"/>
        <w:rPr>
          <w:sz w:val="24"/>
          <w:szCs w:val="24"/>
          <w:highlight w:val="white"/>
        </w:rPr>
      </w:pPr>
      <w:r>
        <w:rPr>
          <w:sz w:val="24"/>
          <w:szCs w:val="24"/>
        </w:rPr>
        <w:t>Please complete your application via this link:</w:t>
      </w:r>
      <w:r>
        <w:rPr>
          <w:sz w:val="24"/>
          <w:szCs w:val="24"/>
          <w:highlight w:val="white"/>
        </w:rPr>
        <w:t xml:space="preserve"> </w:t>
      </w:r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https://forms.gle/hYHk1mZeGnEdbZkt9</w:t>
        </w:r>
      </w:hyperlink>
    </w:p>
    <w:p w14:paraId="0000002F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30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b/>
          <w:sz w:val="24"/>
          <w:szCs w:val="24"/>
        </w:rPr>
        <w:t>Key Dates: </w:t>
      </w:r>
    </w:p>
    <w:p w14:paraId="00000031" w14:textId="77777777" w:rsidR="00134098" w:rsidRDefault="00000000">
      <w:pPr>
        <w:numPr>
          <w:ilvl w:val="0"/>
          <w:numId w:val="1"/>
        </w:numPr>
        <w:spacing w:after="0"/>
        <w:ind w:left="-425" w:right="-466" w:firstLine="566"/>
      </w:pPr>
      <w:r>
        <w:rPr>
          <w:sz w:val="24"/>
          <w:szCs w:val="24"/>
        </w:rPr>
        <w:t>Call opens 22nd October 2024</w:t>
      </w:r>
    </w:p>
    <w:p w14:paraId="00000032" w14:textId="77777777" w:rsidR="00134098" w:rsidRDefault="00000000">
      <w:pPr>
        <w:numPr>
          <w:ilvl w:val="0"/>
          <w:numId w:val="1"/>
        </w:numPr>
        <w:spacing w:after="0"/>
        <w:ind w:left="-425" w:right="-466" w:firstLine="566"/>
      </w:pPr>
      <w:r>
        <w:rPr>
          <w:sz w:val="24"/>
          <w:szCs w:val="24"/>
        </w:rPr>
        <w:t xml:space="preserve">Application submission deadline: Friday 15th November 5pm </w:t>
      </w:r>
    </w:p>
    <w:p w14:paraId="00000033" w14:textId="77777777" w:rsidR="00134098" w:rsidRDefault="00000000">
      <w:pPr>
        <w:numPr>
          <w:ilvl w:val="0"/>
          <w:numId w:val="1"/>
        </w:numPr>
        <w:spacing w:after="0"/>
        <w:ind w:left="-425" w:right="-466" w:firstLine="566"/>
      </w:pPr>
      <w:r>
        <w:rPr>
          <w:sz w:val="24"/>
          <w:szCs w:val="24"/>
        </w:rPr>
        <w:t>Applicants notified of decision: Monday 16th December </w:t>
      </w:r>
    </w:p>
    <w:p w14:paraId="00000034" w14:textId="77777777" w:rsidR="00134098" w:rsidRDefault="00000000">
      <w:pPr>
        <w:numPr>
          <w:ilvl w:val="0"/>
          <w:numId w:val="1"/>
        </w:numPr>
        <w:spacing w:after="0"/>
        <w:ind w:left="-425" w:right="-466" w:firstLine="566"/>
      </w:pPr>
      <w:r>
        <w:rPr>
          <w:sz w:val="24"/>
          <w:szCs w:val="24"/>
        </w:rPr>
        <w:t xml:space="preserve">Deadline for all </w:t>
      </w:r>
      <w:proofErr w:type="gramStart"/>
      <w:r>
        <w:rPr>
          <w:sz w:val="24"/>
          <w:szCs w:val="24"/>
        </w:rPr>
        <w:t>project</w:t>
      </w:r>
      <w:proofErr w:type="gramEnd"/>
      <w:r>
        <w:rPr>
          <w:sz w:val="24"/>
          <w:szCs w:val="24"/>
        </w:rPr>
        <w:t xml:space="preserve"> spend: Friday 18th July 2025</w:t>
      </w:r>
    </w:p>
    <w:p w14:paraId="00000035" w14:textId="77777777" w:rsidR="00134098" w:rsidRDefault="00134098">
      <w:pPr>
        <w:spacing w:after="0"/>
        <w:ind w:left="-283" w:right="-466"/>
        <w:rPr>
          <w:sz w:val="24"/>
          <w:szCs w:val="24"/>
        </w:rPr>
      </w:pPr>
    </w:p>
    <w:p w14:paraId="00000036" w14:textId="77777777" w:rsidR="00134098" w:rsidRDefault="00000000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See the </w:t>
      </w:r>
      <w:hyperlink r:id="rId13">
        <w:proofErr w:type="spellStart"/>
        <w:r>
          <w:rPr>
            <w:color w:val="467886"/>
            <w:sz w:val="24"/>
            <w:szCs w:val="24"/>
            <w:u w:val="single"/>
          </w:rPr>
          <w:t>TeamsBuildDreams</w:t>
        </w:r>
        <w:proofErr w:type="spellEnd"/>
        <w:r>
          <w:rPr>
            <w:color w:val="467886"/>
            <w:sz w:val="24"/>
            <w:szCs w:val="24"/>
            <w:u w:val="single"/>
          </w:rPr>
          <w:t xml:space="preserve"> website </w:t>
        </w:r>
      </w:hyperlink>
      <w:r>
        <w:rPr>
          <w:sz w:val="24"/>
          <w:szCs w:val="24"/>
        </w:rPr>
        <w:t>and animated video for more information on the principles and scope of team research and collaborative research.</w:t>
      </w:r>
    </w:p>
    <w:p w14:paraId="00000039" w14:textId="24DDE084" w:rsidR="00134098" w:rsidRDefault="00000000" w:rsidP="00324581">
      <w:pPr>
        <w:spacing w:after="0"/>
        <w:ind w:left="-283" w:right="-466"/>
        <w:rPr>
          <w:sz w:val="24"/>
          <w:szCs w:val="24"/>
        </w:rPr>
      </w:pPr>
      <w:r>
        <w:rPr>
          <w:sz w:val="24"/>
          <w:szCs w:val="24"/>
        </w:rPr>
        <w:br/>
        <w:t xml:space="preserve">If you have any questions about this call, please contact </w:t>
      </w:r>
      <w:hyperlink r:id="rId14">
        <w:r>
          <w:rPr>
            <w:color w:val="467886"/>
            <w:sz w:val="24"/>
            <w:szCs w:val="24"/>
            <w:u w:val="single"/>
          </w:rPr>
          <w:t>TeamResearch@manchester.ac.uk</w:t>
        </w:r>
      </w:hyperlink>
    </w:p>
    <w:sectPr w:rsidR="0013409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45CFDC5C-ED57-431D-8FBE-BF067E5495D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6B3B82E-7834-4809-B33A-F0DDBE725CC2}"/>
    <w:embedBold r:id="rId3" w:fontKey="{154CBEC8-F7D3-4734-B0A5-915F48399B97}"/>
    <w:embedItalic r:id="rId4" w:fontKey="{FE6E4FBC-58E1-4116-BD39-F09AE38E5E6F}"/>
    <w:embedBoldItalic r:id="rId5" w:fontKey="{AB6BEE4A-822B-4E0D-8E71-ED5ABA99050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893C52FE-3150-4A97-A569-C032F017BD3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64CF"/>
    <w:multiLevelType w:val="multilevel"/>
    <w:tmpl w:val="3FD43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7305979"/>
    <w:multiLevelType w:val="multilevel"/>
    <w:tmpl w:val="A37C7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576F72"/>
    <w:multiLevelType w:val="multilevel"/>
    <w:tmpl w:val="59BE5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964ACD"/>
    <w:multiLevelType w:val="multilevel"/>
    <w:tmpl w:val="B9EAC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04903092">
    <w:abstractNumId w:val="0"/>
  </w:num>
  <w:num w:numId="2" w16cid:durableId="1861580014">
    <w:abstractNumId w:val="2"/>
  </w:num>
  <w:num w:numId="3" w16cid:durableId="61954506">
    <w:abstractNumId w:val="3"/>
  </w:num>
  <w:num w:numId="4" w16cid:durableId="27023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98"/>
    <w:rsid w:val="00134098"/>
    <w:rsid w:val="002E1F84"/>
    <w:rsid w:val="003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E94F"/>
  <w15:docId w15:val="{57DABEE8-25D4-4EAE-9860-5B14F77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2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A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6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2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3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304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so.com/" TargetMode="External"/><Relationship Id="rId13" Type="http://schemas.openxmlformats.org/officeDocument/2006/relationships/hyperlink" Target="https://www.pankhurst.manchester.ac.uk/research/team-resear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assh.cam.ac.uk/events/25653/" TargetMode="External"/><Relationship Id="rId12" Type="http://schemas.openxmlformats.org/officeDocument/2006/relationships/hyperlink" Target="https://forms.gle/hYHk1mZeGnEdbZkt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UoMPankhurst/status/1678382058593296384" TargetMode="External"/><Relationship Id="rId11" Type="http://schemas.openxmlformats.org/officeDocument/2006/relationships/hyperlink" Target="https://www.pankhurst.manchester.ac.uk/research/team-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nkhurst.manchester.ac.uk/research/team-re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ierfutures.manchester.ac.uk/" TargetMode="External"/><Relationship Id="rId14" Type="http://schemas.openxmlformats.org/officeDocument/2006/relationships/hyperlink" Target="mailto:TROT@manchester.ac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GSxWTBv7dq/Fa4W5mX+ilhR8A==">CgMxLjA4AHIhMURGU2ttZlRQa28ycVJqLVJURzdaaE13YXFfbmxtUWdJ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Dawson</dc:creator>
  <cp:lastModifiedBy>Ruth Norris</cp:lastModifiedBy>
  <cp:revision>2</cp:revision>
  <dcterms:created xsi:type="dcterms:W3CDTF">2024-10-09T08:34:00Z</dcterms:created>
  <dcterms:modified xsi:type="dcterms:W3CDTF">2024-10-21T16:28:00Z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0x0101001CCC863AF2CE624EBDBD7917C1F74F9F</vt:lpwstr>
  </property>
</Properties>
</file>